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1" w:rsidRPr="002C5971" w:rsidRDefault="002C5971" w:rsidP="002C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71">
        <w:rPr>
          <w:rFonts w:ascii="Times New Roman" w:hAnsi="Times New Roman" w:cs="Times New Roman"/>
          <w:b/>
          <w:sz w:val="24"/>
          <w:szCs w:val="24"/>
        </w:rPr>
        <w:t>Порядок выполнения технологических, технических и других мероприятий связанных с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технологическим присоединением </w:t>
      </w:r>
      <w:r w:rsidRPr="002C5971">
        <w:rPr>
          <w:rFonts w:ascii="Times New Roman" w:hAnsi="Times New Roman" w:cs="Times New Roman"/>
          <w:b/>
          <w:sz w:val="24"/>
          <w:szCs w:val="24"/>
        </w:rPr>
        <w:t>к электрическим сетям АО «ОЗММ»</w:t>
      </w:r>
    </w:p>
    <w:p w:rsidR="00621012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организацию, оформленнуюв соответствии с требованиями, утвержденными Правилами технологического присоединения</w:t>
      </w:r>
      <w:r w:rsidRPr="000B7A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cr/>
      </w:r>
      <w:r w:rsidRPr="000B7AE0">
        <w:rPr>
          <w:rFonts w:ascii="Times New Roman" w:hAnsi="Times New Roman" w:cs="Times New Roman"/>
          <w:i/>
          <w:sz w:val="24"/>
          <w:szCs w:val="24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уведомляет об этом заявителя в течение 6 рабочих дней с даты получения заявки.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B7A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2.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для Заявителей,  Договор ТП с которыми заключается по индивидуальной проекту в течение 5 (пяти) дней  со дня утверждения размера платы за технологическое присоединение Регулирующим органом;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для Заявителей,  осуществляющих технологическое присоединение по временной схеме в течение 10 (десять) рабочих дней со дня получения Заявки.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для Заявителей 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за исключением лиц планирующих воспользоваться беспроцентной рассрочкой платежа за технологическое присоединение в течение 15 (пятнадцать) дней со дня получения заявки;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в течение 15 (пятнадцать) дней со дня получения заявки;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для Заявителей, за исключением Заявителей указанных в абзацах два, три, четыре настоящего пункта в течение 30 (тридцати) дней со дня получения Заявки.</w:t>
      </w:r>
    </w:p>
    <w:p w:rsid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Под днями понимаются календарные дни за исключением праздничных.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B7AE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2.1. Договор должен содержать следующие существенные условия: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б) срок осуществления мероприятий по технологическому присоединению;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lastRenderedPageBreak/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е) порядок и сроки внесения заявителем платы за технологическое присоединение;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B7A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 Договор считается заключенным с даты поступления подписанного заявителем экземпляра договора в сетевую организацию.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3.1. В случае несогласия с представленным сетевой организацией проектом договора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присоединения. Срок приведения Договора в соответствие с Правилами технологического присоединения – 5 рабочих дней со дня получения такого требования.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3.2. В случае ненаправления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0B7AE0" w:rsidRDefault="000B7AE0" w:rsidP="000B7AE0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8"/>
          <w:i/>
          <w:color w:val="003366"/>
          <w:bdr w:val="none" w:sz="0" w:space="0" w:color="auto" w:frame="1"/>
        </w:rPr>
      </w:pPr>
      <w:r w:rsidRPr="000B7AE0">
        <w:rPr>
          <w:rStyle w:val="a8"/>
          <w:i/>
          <w:color w:val="003366"/>
          <w:bdr w:val="none" w:sz="0" w:space="0" w:color="auto" w:frame="1"/>
        </w:rPr>
        <w:t>4.</w:t>
      </w:r>
      <w:r w:rsidRPr="000B7AE0">
        <w:rPr>
          <w:rStyle w:val="apple-converted-space"/>
          <w:b/>
          <w:bCs/>
          <w:i/>
          <w:color w:val="292D35"/>
          <w:bdr w:val="none" w:sz="0" w:space="0" w:color="auto" w:frame="1"/>
        </w:rPr>
        <w:t> </w:t>
      </w:r>
      <w:r w:rsidRPr="000B7AE0">
        <w:rPr>
          <w:rStyle w:val="a8"/>
          <w:i/>
          <w:color w:val="003366"/>
          <w:bdr w:val="none" w:sz="0" w:space="0" w:color="auto" w:frame="1"/>
        </w:rPr>
        <w:t>Выполнение сторонами договора мероприятий, предусмотренных договором.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292D35"/>
        </w:rPr>
      </w:pP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006699"/>
          <w:bdr w:val="none" w:sz="0" w:space="0" w:color="auto" w:frame="1"/>
        </w:rPr>
        <w:t>4.1. Мероприятия по технологическому присоединению включают  в себя: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а)</w:t>
      </w:r>
      <w:r w:rsidRPr="000B7AE0">
        <w:rPr>
          <w:rStyle w:val="apple-converted-space"/>
          <w:b/>
          <w:bCs/>
          <w:i/>
          <w:color w:val="292D35"/>
          <w:bdr w:val="none" w:sz="0" w:space="0" w:color="auto" w:frame="1"/>
        </w:rPr>
        <w:t> </w:t>
      </w:r>
      <w:r w:rsidRPr="000B7AE0">
        <w:rPr>
          <w:i/>
          <w:color w:val="292D35"/>
        </w:rPr>
        <w:t>подготовку, выдачу сетевой организацией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технических условий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б)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разработку сетевой организацией проектной документации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согласно обязательствам,</w:t>
      </w:r>
      <w:r w:rsidRPr="000B7AE0">
        <w:rPr>
          <w:rStyle w:val="apple-converted-space"/>
          <w:b/>
          <w:bCs/>
          <w:i/>
          <w:color w:val="292D35"/>
          <w:bdr w:val="none" w:sz="0" w:space="0" w:color="auto" w:frame="1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предусмотренным техническими условиями;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в)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разработку заявителем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проектной документации в границах его земельного участка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в)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Заявители, максимальная мощность энергопринимающих устройств которых составляет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менее 150 кВт</w:t>
      </w:r>
      <w:r w:rsidRPr="000B7AE0">
        <w:rPr>
          <w:i/>
          <w:color w:val="292D35"/>
        </w:rPr>
        <w:t xml:space="preserve">, вправе в инициативном порядке представить в сетевую </w:t>
      </w:r>
      <w:r w:rsidRPr="000B7AE0">
        <w:rPr>
          <w:i/>
          <w:color w:val="292D35"/>
        </w:rPr>
        <w:lastRenderedPageBreak/>
        <w:t>организацию разработанную ими проектную документацию на подтверждение ее соответствия техническим условиям.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г)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выполнение технических условий заявителем и сетевой организацией</w:t>
      </w:r>
      <w:r w:rsidRPr="000B7AE0">
        <w:rPr>
          <w:i/>
          <w:color w:val="292D35"/>
        </w:rPr>
        <w:t>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 По окончанию осуществления мероприятия по технологическому присоединению  Стороны составляют Акт о выполнении заявителем технических условий или Акта осмотра (обследования) объектов заявителя;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д)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проверку сетевой организацией выполнения заявителем технических условий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указанных в пунктах</w:t>
      </w:r>
      <w:r w:rsidRPr="000B7AE0">
        <w:rPr>
          <w:rStyle w:val="apple-converted-space"/>
          <w:i/>
          <w:color w:val="292D35"/>
        </w:rPr>
        <w:t> </w:t>
      </w:r>
      <w:hyperlink r:id="rId6" w:anchor="p12_1" w:history="1">
        <w:r w:rsidRPr="000B7AE0">
          <w:rPr>
            <w:rStyle w:val="a9"/>
            <w:i/>
            <w:color w:val="21409A"/>
            <w:bdr w:val="none" w:sz="0" w:space="0" w:color="auto" w:frame="1"/>
          </w:rPr>
          <w:t>12(1)</w:t>
        </w:r>
      </w:hyperlink>
      <w:r w:rsidRPr="000B7AE0">
        <w:rPr>
          <w:i/>
          <w:color w:val="292D35"/>
        </w:rPr>
        <w:t>,</w:t>
      </w:r>
      <w:r w:rsidRPr="000B7AE0">
        <w:rPr>
          <w:rStyle w:val="apple-converted-space"/>
          <w:i/>
          <w:color w:val="292D35"/>
        </w:rPr>
        <w:t> </w:t>
      </w:r>
      <w:hyperlink r:id="rId7" w:anchor="p13" w:history="1">
        <w:r w:rsidRPr="000B7AE0">
          <w:rPr>
            <w:rStyle w:val="a9"/>
            <w:i/>
            <w:color w:val="21409A"/>
            <w:bdr w:val="none" w:sz="0" w:space="0" w:color="auto" w:frame="1"/>
          </w:rPr>
          <w:t>13</w:t>
        </w:r>
      </w:hyperlink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и</w:t>
      </w:r>
      <w:r w:rsidRPr="000B7AE0">
        <w:rPr>
          <w:rStyle w:val="apple-converted-space"/>
          <w:i/>
          <w:color w:val="292D35"/>
        </w:rPr>
        <w:t> </w:t>
      </w:r>
      <w:hyperlink r:id="rId8" w:anchor="p14" w:history="1">
        <w:r w:rsidRPr="000B7AE0">
          <w:rPr>
            <w:rStyle w:val="a9"/>
            <w:i/>
            <w:color w:val="21409A"/>
            <w:bdr w:val="none" w:sz="0" w:space="0" w:color="auto" w:frame="1"/>
          </w:rPr>
          <w:t>14</w:t>
        </w:r>
      </w:hyperlink>
      <w:r w:rsidRPr="000B7AE0">
        <w:rPr>
          <w:i/>
          <w:color w:val="292D35"/>
        </w:rPr>
        <w:t> </w:t>
      </w:r>
      <w:r w:rsidRPr="000B7AE0">
        <w:rPr>
          <w:rStyle w:val="apple-converted-space"/>
          <w:i/>
          <w:color w:val="292D35"/>
        </w:rPr>
        <w:t> </w:t>
      </w:r>
      <w:hyperlink r:id="rId9" w:history="1">
        <w:r w:rsidRPr="000B7AE0">
          <w:rPr>
            <w:rStyle w:val="a9"/>
            <w:i/>
            <w:color w:val="21409A"/>
            <w:bdr w:val="none" w:sz="0" w:space="0" w:color="auto" w:frame="1"/>
          </w:rPr>
          <w:t>Правил технологического присоединения</w:t>
        </w:r>
      </w:hyperlink>
      <w:r w:rsidRPr="000B7AE0">
        <w:rPr>
          <w:i/>
          <w:color w:val="292D35"/>
        </w:rPr>
        <w:t>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е)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осмотр</w:t>
      </w:r>
      <w:r w:rsidRPr="000B7AE0">
        <w:rPr>
          <w:rStyle w:val="apple-converted-space"/>
          <w:b/>
          <w:bCs/>
          <w:i/>
          <w:color w:val="292D35"/>
          <w:bdr w:val="none" w:sz="0" w:space="0" w:color="auto" w:frame="1"/>
        </w:rPr>
        <w:t> </w:t>
      </w:r>
      <w:r w:rsidRPr="000B7AE0">
        <w:rPr>
          <w:i/>
          <w:color w:val="292D35"/>
        </w:rPr>
        <w:t>(обследование)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присоединяемых энергопринимающих устройств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пункте</w:t>
      </w:r>
      <w:r w:rsidRPr="000B7AE0">
        <w:rPr>
          <w:rStyle w:val="apple-converted-space"/>
          <w:i/>
          <w:color w:val="292D35"/>
        </w:rPr>
        <w:t> </w:t>
      </w:r>
      <w:hyperlink r:id="rId10" w:anchor="p12" w:history="1">
        <w:r w:rsidRPr="000B7AE0">
          <w:rPr>
            <w:rStyle w:val="a9"/>
            <w:i/>
            <w:color w:val="21409A"/>
            <w:bdr w:val="none" w:sz="0" w:space="0" w:color="auto" w:frame="1"/>
          </w:rPr>
          <w:t>12 Правил технологического присоединения</w:t>
        </w:r>
      </w:hyperlink>
      <w:r w:rsidRPr="000B7AE0">
        <w:rPr>
          <w:i/>
          <w:color w:val="292D35"/>
        </w:rPr>
        <w:t>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включительно, а также для лиц, указанных в  пунктах</w:t>
      </w:r>
      <w:r w:rsidRPr="000B7AE0">
        <w:rPr>
          <w:rStyle w:val="apple-converted-space"/>
          <w:i/>
          <w:color w:val="292D35"/>
        </w:rPr>
        <w:t> </w:t>
      </w:r>
      <w:hyperlink r:id="rId11" w:anchor="p12_1" w:history="1">
        <w:r w:rsidRPr="000B7AE0">
          <w:rPr>
            <w:rStyle w:val="a9"/>
            <w:i/>
            <w:color w:val="21409A"/>
            <w:bdr w:val="none" w:sz="0" w:space="0" w:color="auto" w:frame="1"/>
          </w:rPr>
          <w:t>12(1)</w:t>
        </w:r>
      </w:hyperlink>
      <w:r w:rsidRPr="000B7AE0">
        <w:rPr>
          <w:i/>
          <w:color w:val="292D35"/>
        </w:rPr>
        <w:t>,</w:t>
      </w:r>
      <w:r w:rsidRPr="000B7AE0">
        <w:rPr>
          <w:rStyle w:val="apple-converted-space"/>
          <w:i/>
          <w:color w:val="292D35"/>
        </w:rPr>
        <w:t> </w:t>
      </w:r>
      <w:hyperlink r:id="rId12" w:anchor="p13" w:history="1">
        <w:r w:rsidRPr="000B7AE0">
          <w:rPr>
            <w:rStyle w:val="a9"/>
            <w:i/>
            <w:color w:val="21409A"/>
            <w:bdr w:val="none" w:sz="0" w:space="0" w:color="auto" w:frame="1"/>
          </w:rPr>
          <w:t>13</w:t>
        </w:r>
      </w:hyperlink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и</w:t>
      </w:r>
      <w:r w:rsidRPr="000B7AE0">
        <w:rPr>
          <w:rStyle w:val="apple-converted-space"/>
          <w:i/>
          <w:color w:val="292D35"/>
        </w:rPr>
        <w:t> </w:t>
      </w:r>
      <w:hyperlink r:id="rId13" w:anchor="p14" w:history="1">
        <w:r w:rsidRPr="000B7AE0">
          <w:rPr>
            <w:rStyle w:val="a9"/>
            <w:i/>
            <w:color w:val="21409A"/>
            <w:bdr w:val="none" w:sz="0" w:space="0" w:color="auto" w:frame="1"/>
          </w:rPr>
          <w:t>14</w:t>
        </w:r>
      </w:hyperlink>
      <w:r w:rsidRPr="000B7AE0">
        <w:rPr>
          <w:i/>
          <w:color w:val="292D35"/>
        </w:rPr>
        <w:t> </w:t>
      </w:r>
      <w:r w:rsidRPr="000B7AE0">
        <w:rPr>
          <w:rStyle w:val="apple-converted-space"/>
          <w:i/>
          <w:color w:val="292D35"/>
        </w:rPr>
        <w:t> </w:t>
      </w:r>
      <w:hyperlink r:id="rId14" w:history="1">
        <w:r w:rsidRPr="000B7AE0">
          <w:rPr>
            <w:rStyle w:val="a9"/>
            <w:i/>
            <w:color w:val="21409A"/>
            <w:bdr w:val="none" w:sz="0" w:space="0" w:color="auto" w:frame="1"/>
          </w:rPr>
          <w:t>Правил технологического присоединения</w:t>
        </w:r>
      </w:hyperlink>
      <w:r w:rsidRPr="000B7AE0">
        <w:rPr>
          <w:i/>
          <w:color w:val="292D35"/>
        </w:rPr>
        <w:t>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заявителя). По окончанию осуществления мероприятия по технологическому присоединению  Стороны составляют Акт об осмотре приборов учета и согласовании расчетной схемы учета электрической энергии (мощности) заявителя;</w:t>
      </w:r>
    </w:p>
    <w:p w:rsidR="000B7AE0" w:rsidRPr="000B7AE0" w:rsidRDefault="000B7AE0" w:rsidP="000B7AE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92D35"/>
        </w:rPr>
      </w:pPr>
      <w:r w:rsidRPr="000B7AE0">
        <w:rPr>
          <w:rStyle w:val="a8"/>
          <w:i/>
          <w:color w:val="292D35"/>
          <w:bdr w:val="none" w:sz="0" w:space="0" w:color="auto" w:frame="1"/>
        </w:rPr>
        <w:t>ж)</w:t>
      </w:r>
      <w:r w:rsidRPr="000B7AE0">
        <w:rPr>
          <w:rStyle w:val="apple-converted-space"/>
          <w:b/>
          <w:bCs/>
          <w:i/>
          <w:color w:val="292D35"/>
          <w:bdr w:val="none" w:sz="0" w:space="0" w:color="auto" w:frame="1"/>
        </w:rPr>
        <w:t> </w:t>
      </w:r>
      <w:r w:rsidRPr="000B7AE0">
        <w:rPr>
          <w:i/>
          <w:color w:val="292D35"/>
        </w:rPr>
        <w:t>осуществление сетевой организацией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rStyle w:val="a8"/>
          <w:i/>
          <w:color w:val="292D35"/>
          <w:bdr w:val="none" w:sz="0" w:space="0" w:color="auto" w:frame="1"/>
        </w:rPr>
        <w:t>фактического присоединения объектов заявителя</w:t>
      </w:r>
      <w:r w:rsidRPr="000B7AE0">
        <w:rPr>
          <w:rStyle w:val="apple-converted-space"/>
          <w:i/>
          <w:color w:val="292D35"/>
        </w:rPr>
        <w:t> </w:t>
      </w:r>
      <w:r w:rsidRPr="000B7AE0">
        <w:rPr>
          <w:i/>
          <w:color w:val="292D35"/>
        </w:rPr>
        <w:t>к электрическим сетям и включение коммутационного аппарата (фиксация коммутационного аппарата в положении «включено»).</w:t>
      </w:r>
    </w:p>
    <w:p w:rsidR="000B7AE0" w:rsidRDefault="000B7AE0" w:rsidP="000B7AE0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92D35"/>
          <w:sz w:val="18"/>
          <w:szCs w:val="18"/>
        </w:rPr>
      </w:pPr>
    </w:p>
    <w:p w:rsidR="000B7AE0" w:rsidRPr="000B7AE0" w:rsidRDefault="000B7AE0" w:rsidP="000B7AE0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B7AE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5. По окончании осуществления мероприятий по технологическому присоединению стороны составляют акты: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Акт разграничения балансовой принадлежности электрических сетей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Акт разграничения эксплуатационной ответственности сторон</w:t>
      </w:r>
    </w:p>
    <w:p w:rsidR="000B7AE0" w:rsidRPr="000B7AE0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Акт об осуществлении технологического присоединения</w:t>
      </w:r>
    </w:p>
    <w:p w:rsidR="000B7AE0" w:rsidRPr="002C5971" w:rsidRDefault="000B7AE0" w:rsidP="000B7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E0">
        <w:rPr>
          <w:rFonts w:ascii="Times New Roman" w:hAnsi="Times New Roman" w:cs="Times New Roman"/>
          <w:i/>
          <w:sz w:val="24"/>
          <w:szCs w:val="24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</w:t>
      </w:r>
    </w:p>
    <w:sectPr w:rsidR="000B7AE0" w:rsidRPr="002C5971" w:rsidSect="000B7AE0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7B" w:rsidRDefault="00BB517B" w:rsidP="000B7AE0">
      <w:pPr>
        <w:spacing w:after="0" w:line="240" w:lineRule="auto"/>
      </w:pPr>
      <w:r>
        <w:separator/>
      </w:r>
    </w:p>
  </w:endnote>
  <w:endnote w:type="continuationSeparator" w:id="1">
    <w:p w:rsidR="00BB517B" w:rsidRDefault="00BB517B" w:rsidP="000B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7B" w:rsidRDefault="00BB517B" w:rsidP="000B7AE0">
      <w:pPr>
        <w:spacing w:after="0" w:line="240" w:lineRule="auto"/>
      </w:pPr>
      <w:r>
        <w:separator/>
      </w:r>
    </w:p>
  </w:footnote>
  <w:footnote w:type="continuationSeparator" w:id="1">
    <w:p w:rsidR="00BB517B" w:rsidRDefault="00BB517B" w:rsidP="000B7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71"/>
    <w:rsid w:val="000B7AE0"/>
    <w:rsid w:val="002C5971"/>
    <w:rsid w:val="00621012"/>
    <w:rsid w:val="00BB517B"/>
    <w:rsid w:val="00C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AE0"/>
  </w:style>
  <w:style w:type="paragraph" w:styleId="a5">
    <w:name w:val="footer"/>
    <w:basedOn w:val="a"/>
    <w:link w:val="a6"/>
    <w:uiPriority w:val="99"/>
    <w:semiHidden/>
    <w:unhideWhenUsed/>
    <w:rsid w:val="000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AE0"/>
  </w:style>
  <w:style w:type="paragraph" w:styleId="a7">
    <w:name w:val="Normal (Web)"/>
    <w:basedOn w:val="a"/>
    <w:uiPriority w:val="99"/>
    <w:semiHidden/>
    <w:unhideWhenUsed/>
    <w:rsid w:val="000B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7AE0"/>
    <w:rPr>
      <w:b/>
      <w:bCs/>
    </w:rPr>
  </w:style>
  <w:style w:type="character" w:customStyle="1" w:styleId="apple-converted-space">
    <w:name w:val="apple-converted-space"/>
    <w:basedOn w:val="a0"/>
    <w:rsid w:val="000B7AE0"/>
  </w:style>
  <w:style w:type="character" w:styleId="a9">
    <w:name w:val="Hyperlink"/>
    <w:basedOn w:val="a0"/>
    <w:uiPriority w:val="99"/>
    <w:semiHidden/>
    <w:unhideWhenUsed/>
    <w:rsid w:val="000B7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gc_rules" TargetMode="External"/><Relationship Id="rId13" Type="http://schemas.openxmlformats.org/officeDocument/2006/relationships/hyperlink" Target="https://clients.mrsksevzap.ru/gc_ru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ents.mrsksevzap.ru/gc_rules" TargetMode="External"/><Relationship Id="rId12" Type="http://schemas.openxmlformats.org/officeDocument/2006/relationships/hyperlink" Target="https://clients.mrsksevzap.ru/gc_ru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ients.mrsksevzap.ru/gc_rules" TargetMode="External"/><Relationship Id="rId11" Type="http://schemas.openxmlformats.org/officeDocument/2006/relationships/hyperlink" Target="https://clients.mrsksevzap.ru/gc_ru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lients.mrsksevzap.ru/gc_ru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ients.mrsksevzap.ru/gc_rules" TargetMode="External"/><Relationship Id="rId14" Type="http://schemas.openxmlformats.org/officeDocument/2006/relationships/hyperlink" Target="https://clients.mrsksevzap.ru/gc_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1330</Words>
  <Characters>7583</Characters>
  <Application>Microsoft Office Word</Application>
  <DocSecurity>0</DocSecurity>
  <Lines>63</Lines>
  <Paragraphs>17</Paragraphs>
  <ScaleCrop>false</ScaleCrop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3</cp:revision>
  <dcterms:created xsi:type="dcterms:W3CDTF">2017-10-19T10:54:00Z</dcterms:created>
  <dcterms:modified xsi:type="dcterms:W3CDTF">2018-01-18T11:05:00Z</dcterms:modified>
</cp:coreProperties>
</file>